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0310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CEB38"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3055"/>
      </w:tblGrid>
      <w:tr w:rsidR="0088254E" w:rsidRPr="001C697E" w14:paraId="5A0D5B1C" w14:textId="77777777" w:rsidTr="002D4518">
        <w:tc>
          <w:tcPr>
            <w:tcW w:w="3055" w:type="dxa"/>
          </w:tcPr>
          <w:p w14:paraId="1B279F0C" w14:textId="03FDC87C" w:rsidR="0088254E" w:rsidRPr="002F7E51" w:rsidRDefault="00777292" w:rsidP="0088254E">
            <w:pPr>
              <w:rPr>
                <w:rFonts w:cstheme="minorHAnsi"/>
              </w:rPr>
            </w:pPr>
            <w:r>
              <w:rPr>
                <w:rFonts w:cstheme="minorHAnsi"/>
              </w:rPr>
              <w:t xml:space="preserve">Econ </w:t>
            </w:r>
            <w:r w:rsidR="00044F8D">
              <w:rPr>
                <w:rFonts w:cstheme="minorHAnsi"/>
              </w:rPr>
              <w:t>3</w:t>
            </w:r>
            <w:r w:rsidR="00A90717">
              <w:rPr>
                <w:rFonts w:cstheme="minorHAnsi"/>
              </w:rPr>
              <w:t>24</w:t>
            </w:r>
          </w:p>
        </w:tc>
      </w:tr>
      <w:tr w:rsidR="0088254E" w:rsidRPr="001C697E" w14:paraId="1435D112" w14:textId="77777777" w:rsidTr="002D4518">
        <w:tc>
          <w:tcPr>
            <w:tcW w:w="3055" w:type="dxa"/>
          </w:tcPr>
          <w:p w14:paraId="6F07AAF1" w14:textId="7C2F4C2E" w:rsidR="0088254E" w:rsidRPr="002F7E51" w:rsidRDefault="00A90717" w:rsidP="0088254E">
            <w:pPr>
              <w:rPr>
                <w:rFonts w:cstheme="minorHAnsi"/>
              </w:rPr>
            </w:pPr>
            <w:r>
              <w:rPr>
                <w:rFonts w:cstheme="minorHAnsi"/>
              </w:rPr>
              <w:t xml:space="preserve">Health </w:t>
            </w:r>
            <w:r w:rsidR="00044F8D">
              <w:rPr>
                <w:rFonts w:cstheme="minorHAnsi"/>
              </w:rPr>
              <w:t>Economics</w:t>
            </w:r>
          </w:p>
        </w:tc>
      </w:tr>
      <w:tr w:rsidR="0088254E" w:rsidRPr="001C697E" w14:paraId="31F564AB" w14:textId="77777777" w:rsidTr="002D4518">
        <w:tc>
          <w:tcPr>
            <w:tcW w:w="3055" w:type="dxa"/>
          </w:tcPr>
          <w:p w14:paraId="426B85B6" w14:textId="34429850" w:rsidR="0088254E" w:rsidRPr="002F7E51" w:rsidRDefault="00A90717" w:rsidP="0088254E">
            <w:pPr>
              <w:rPr>
                <w:rFonts w:cstheme="minorHAnsi"/>
              </w:rPr>
            </w:pPr>
            <w:r>
              <w:rPr>
                <w:rFonts w:cstheme="minorHAnsi"/>
              </w:rPr>
              <w:t>Spring 202</w:t>
            </w:r>
            <w:r w:rsidR="005E17DE">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6D32016" w:rsidR="001C697E" w:rsidRPr="002F7E51" w:rsidRDefault="00297F86" w:rsidP="000F3624">
            <w:pPr>
              <w:rPr>
                <w:rFonts w:cstheme="minorHAnsi"/>
              </w:rPr>
            </w:pPr>
            <w:r>
              <w:rPr>
                <w:rFonts w:cstheme="minorHAnsi"/>
              </w:rPr>
              <w:t>Jason R. Davis,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2C3175" w:rsidR="001C697E" w:rsidRPr="002F7E51" w:rsidRDefault="00297F86"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FCFCAB3" w:rsidR="003336AE" w:rsidRPr="002F7E51" w:rsidRDefault="005E17DE" w:rsidP="000F3624">
            <w:pPr>
              <w:rPr>
                <w:rFonts w:cstheme="minorHAnsi"/>
              </w:rPr>
            </w:pPr>
            <w:r>
              <w:rPr>
                <w:rFonts w:cstheme="minorHAnsi"/>
              </w:rPr>
              <w:t>9:00 – 11:00 Tuesdays and Thursdays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97E816E" w:rsidR="001C697E" w:rsidRPr="002F7E51" w:rsidRDefault="00297F86" w:rsidP="000F3624">
            <w:pPr>
              <w:rPr>
                <w:rFonts w:cstheme="minorHAnsi"/>
              </w:rPr>
            </w:pPr>
            <w:r>
              <w:rPr>
                <w:rFonts w:cstheme="minorHAnsi"/>
              </w:rPr>
              <w:t>By Appointment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5DEDE9E" w:rsidR="001C697E" w:rsidRPr="002F7E51" w:rsidRDefault="005F3B3B" w:rsidP="000F3624">
            <w:pPr>
              <w:rPr>
                <w:rFonts w:cstheme="minorHAnsi"/>
              </w:rPr>
            </w:pPr>
            <w:hyperlink r:id="rId13" w:history="1">
              <w:r w:rsidR="00297F86" w:rsidRPr="002A28F2">
                <w:rPr>
                  <w:rStyle w:val="Hyperlink"/>
                  <w:rFonts w:cstheme="minorHAnsi"/>
                </w:rPr>
                <w:t>jdavis@uwsp.edu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F68C9D4" w:rsidR="002F7E51" w:rsidRPr="002F7E51" w:rsidRDefault="00297F86" w:rsidP="000F3624">
            <w:pPr>
              <w:rPr>
                <w:rFonts w:cstheme="minorHAnsi"/>
              </w:rPr>
            </w:pPr>
            <w:r>
              <w:rPr>
                <w:rFonts w:cstheme="minorHAnsi"/>
              </w:rPr>
              <w:t>You should receive a response within 24 hours. If you do not, please email</w:t>
            </w:r>
            <w:r w:rsidR="003826BD">
              <w:rPr>
                <w:rFonts w:cstheme="minorHAnsi"/>
              </w:rPr>
              <w:t xml:space="preserve"> or call</w:t>
            </w:r>
            <w:r>
              <w:rPr>
                <w:rFonts w:cstheme="minorHAnsi"/>
              </w:rPr>
              <w:t xml:space="preserve">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4D3CEB31" w14:textId="77777777" w:rsidR="00A90717" w:rsidRDefault="00A90717" w:rsidP="00A90717">
            <w:pPr>
              <w:ind w:hanging="14"/>
              <w:rPr>
                <w:bCs/>
                <w:sz w:val="24"/>
              </w:rPr>
            </w:pPr>
            <w:r>
              <w:rPr>
                <w:bCs/>
                <w:sz w:val="24"/>
              </w:rPr>
              <w:t xml:space="preserve">This course applies microeconomic theories to analyze the behavior of health and health care markets.  Topics will include: supply and demand of health care services, private medical insurance markets, government provision of health care services and/or health insurance, medical care pricing and provider incentives, and health care policy and reform.  </w:t>
            </w:r>
          </w:p>
          <w:p w14:paraId="5AD8FF53" w14:textId="1856991F" w:rsidR="002F7E51" w:rsidRPr="005966B4"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295291C" w:rsidR="002F7E51" w:rsidRPr="002F7E51" w:rsidRDefault="00297F86"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736B00" w:rsidRDefault="002F7E51" w:rsidP="000F3624">
            <w:pPr>
              <w:rPr>
                <w:rFonts w:cstheme="minorHAnsi"/>
                <w:b/>
              </w:rPr>
            </w:pPr>
            <w:r w:rsidRPr="00736B00">
              <w:rPr>
                <w:rFonts w:cstheme="minorHAnsi"/>
                <w:b/>
              </w:rPr>
              <w:t>Prerequisites:</w:t>
            </w:r>
          </w:p>
        </w:tc>
        <w:tc>
          <w:tcPr>
            <w:tcW w:w="6359" w:type="dxa"/>
          </w:tcPr>
          <w:p w14:paraId="451414D7" w14:textId="4C75E605" w:rsidR="002F7E51" w:rsidRPr="002F7E51" w:rsidRDefault="0007274A" w:rsidP="000F3624">
            <w:pPr>
              <w:rPr>
                <w:rFonts w:cstheme="minorHAnsi"/>
              </w:rPr>
            </w:pPr>
            <w:r>
              <w:rPr>
                <w:rFonts w:ascii="Arial" w:hAnsi="Arial" w:cs="Arial"/>
                <w:color w:val="515151"/>
                <w:sz w:val="18"/>
                <w:szCs w:val="18"/>
                <w:shd w:val="clear" w:color="auto" w:fill="FFFFFF"/>
              </w:rPr>
              <w:t>Econ 111</w:t>
            </w:r>
            <w:r w:rsidR="00CB0E92">
              <w:rPr>
                <w:rFonts w:ascii="Arial" w:hAnsi="Arial" w:cs="Arial"/>
                <w:color w:val="515151"/>
                <w:sz w:val="18"/>
                <w:szCs w:val="18"/>
                <w:shd w:val="clear" w:color="auto" w:fill="FFFFFF"/>
              </w:rPr>
              <w:t xml:space="preserve">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64A8852" w:rsidR="002F7E51" w:rsidRPr="002F7E51" w:rsidRDefault="00A90717" w:rsidP="000F3624">
            <w:pPr>
              <w:rPr>
                <w:rFonts w:cstheme="minorHAnsi"/>
              </w:rPr>
            </w:pPr>
            <w:r>
              <w:rPr>
                <w:rFonts w:cstheme="minorHAnsi"/>
              </w:rPr>
              <w:t>Health Economics and Policy, 7</w:t>
            </w:r>
            <w:r w:rsidRPr="00A90717">
              <w:rPr>
                <w:rFonts w:cstheme="minorHAnsi"/>
                <w:vertAlign w:val="superscript"/>
              </w:rPr>
              <w:t>th</w:t>
            </w:r>
            <w:r>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04CC1935" w:rsidR="003336AE" w:rsidRPr="002F7E51" w:rsidRDefault="003336AE" w:rsidP="000F3624">
            <w:pPr>
              <w:rPr>
                <w:rFonts w:cstheme="minorHAnsi"/>
              </w:rPr>
            </w:pPr>
          </w:p>
        </w:tc>
      </w:tr>
    </w:tbl>
    <w:p w14:paraId="502D4828" w14:textId="77777777" w:rsidR="004001D9" w:rsidRDefault="004001D9">
      <w:pPr>
        <w:rPr>
          <w:rFonts w:ascii="Times New Roman" w:hAnsi="Times New Roman" w:cs="Times New Roman"/>
          <w:b/>
          <w:i/>
          <w:sz w:val="24"/>
        </w:rPr>
      </w:pPr>
      <w:r>
        <w:br w:type="page"/>
      </w:r>
    </w:p>
    <w:p w14:paraId="47914543" w14:textId="3AAB140F"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C3C40A0" w:rsidR="009A0912" w:rsidRPr="002F7E51" w:rsidRDefault="00294E50" w:rsidP="000F3624">
            <w:pPr>
              <w:rPr>
                <w:rFonts w:cstheme="minorHAnsi"/>
              </w:rPr>
            </w:pPr>
            <w:r w:rsidRPr="00294E50">
              <w:t>https://uwsa.instructure.com/courses/479665</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BF7E237" w:rsidR="003336AE" w:rsidRPr="002F7E51" w:rsidRDefault="009A1D09" w:rsidP="000F3624">
            <w:pPr>
              <w:rPr>
                <w:rFonts w:cstheme="minorHAnsi"/>
              </w:rPr>
            </w:pPr>
            <w:r>
              <w:rPr>
                <w:rFonts w:cstheme="minorHAnsi"/>
              </w:rPr>
              <w:t xml:space="preserve">In class instruction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bl>
    <w:p w14:paraId="4EFF321F" w14:textId="77777777" w:rsidR="004001D9" w:rsidRDefault="004001D9">
      <w:r>
        <w:br w:type="page"/>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4001D9">
        <w:tc>
          <w:tcPr>
            <w:tcW w:w="2605" w:type="dxa"/>
            <w:tcBorders>
              <w:top w:val="nil"/>
              <w:left w:val="nil"/>
              <w:bottom w:val="nil"/>
              <w:right w:val="nil"/>
            </w:tcBorders>
          </w:tcPr>
          <w:p w14:paraId="6536A55D" w14:textId="621EB47E"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5122F37B"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7C1FB844" w14:textId="5E0DC3F2"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F5C0DDE" w14:textId="3D4D57F4" w:rsidR="00B87B54" w:rsidRPr="003768FC" w:rsidRDefault="00A90717" w:rsidP="00B87B54">
            <w:pPr>
              <w:ind w:hanging="30"/>
            </w:pPr>
            <w:r>
              <w:rPr>
                <w:bCs/>
              </w:rPr>
              <w:t>This course provides an introduction to health economics and the performance of health-care systems. The primary goals of the course are to understand how economic tools can be used to guide medical decisions and how to evaluate the performance of health-care systems.</w:t>
            </w:r>
          </w:p>
          <w:p w14:paraId="7B110926" w14:textId="32AA03AF" w:rsidR="00005DD3" w:rsidRPr="002F7E51" w:rsidRDefault="00005DD3" w:rsidP="000F3624">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1F712C15" w14:textId="23620BB8" w:rsidR="00A90717" w:rsidRPr="00A90717" w:rsidRDefault="00A90717" w:rsidP="00A90717">
            <w:pPr>
              <w:rPr>
                <w:sz w:val="24"/>
              </w:rPr>
            </w:pPr>
            <w:r>
              <w:rPr>
                <w:sz w:val="24"/>
              </w:rPr>
              <w:t>Upon successful completion of this course, students will be able to:</w:t>
            </w:r>
          </w:p>
          <w:p w14:paraId="1B0820CE" w14:textId="6B43B484" w:rsidR="00A90717" w:rsidRDefault="00A90717" w:rsidP="00A90717">
            <w:pPr>
              <w:pStyle w:val="ListParagraph"/>
              <w:numPr>
                <w:ilvl w:val="0"/>
                <w:numId w:val="30"/>
              </w:numPr>
              <w:rPr>
                <w:sz w:val="24"/>
              </w:rPr>
            </w:pPr>
            <w:r>
              <w:rPr>
                <w:sz w:val="24"/>
              </w:rPr>
              <w:t>Explain how health care outcomes are shaped by consumer choices, provider incentives, and government policy.</w:t>
            </w:r>
          </w:p>
          <w:p w14:paraId="21DF2F18" w14:textId="77777777" w:rsidR="00A90717" w:rsidRDefault="00A90717" w:rsidP="00A90717">
            <w:pPr>
              <w:pStyle w:val="ListParagraph"/>
              <w:numPr>
                <w:ilvl w:val="0"/>
                <w:numId w:val="30"/>
              </w:numPr>
              <w:rPr>
                <w:sz w:val="24"/>
              </w:rPr>
            </w:pPr>
            <w:r>
              <w:rPr>
                <w:sz w:val="24"/>
              </w:rPr>
              <w:t>Apply microeconomic techniques to critically analyze and compare competing health care policies.</w:t>
            </w:r>
          </w:p>
          <w:p w14:paraId="0A1E5E4D" w14:textId="77777777" w:rsidR="00A90717" w:rsidRDefault="00A90717" w:rsidP="00A90717">
            <w:pPr>
              <w:pStyle w:val="ListParagraph"/>
              <w:numPr>
                <w:ilvl w:val="0"/>
                <w:numId w:val="30"/>
              </w:numPr>
              <w:rPr>
                <w:sz w:val="24"/>
              </w:rPr>
            </w:pPr>
            <w:r>
              <w:rPr>
                <w:sz w:val="24"/>
              </w:rPr>
              <w:t>Explain how different forms of provider compensation affect provision of care and health care outcomes.</w:t>
            </w:r>
          </w:p>
          <w:p w14:paraId="28F38B45" w14:textId="1CD6646C" w:rsidR="00EC12A3" w:rsidRPr="00EC12A3" w:rsidRDefault="00EC12A3" w:rsidP="00EC12A3">
            <w:pPr>
              <w:ind w:left="60"/>
              <w:rPr>
                <w:b/>
              </w:rPr>
            </w:pPr>
            <w:r>
              <w:rPr>
                <w:bCs/>
              </w:rPr>
              <w:t xml:space="preserve">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5F6D184F"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6047A27F" w14:textId="649912A4"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76D6184" w:rsidR="005559AF" w:rsidRPr="002F7E51" w:rsidRDefault="00294E50" w:rsidP="000F3624">
            <w:pPr>
              <w:rPr>
                <w:rFonts w:cstheme="minorHAnsi"/>
              </w:rPr>
            </w:pPr>
            <w:r>
              <w:rPr>
                <w:rFonts w:cstheme="minorHAnsi"/>
              </w:rPr>
              <w:t xml:space="preserve">Attendance </w:t>
            </w:r>
            <w:r w:rsidR="000733B7">
              <w:rPr>
                <w:rFonts w:cstheme="minorHAnsi"/>
              </w:rPr>
              <w:t xml:space="preserve">is recorded and will factor into your participation points. Obviously, </w:t>
            </w:r>
            <w:r w:rsidR="006A0229">
              <w:rPr>
                <w:rFonts w:cstheme="minorHAnsi"/>
              </w:rPr>
              <w:t>if you are in quarantine or simply not feeling well, please do not come to class, but do email me to let me know why you are absent.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A1C9E37" w:rsidR="007D0B4D" w:rsidRPr="002F7E51" w:rsidRDefault="00297F86" w:rsidP="000F3624">
            <w:pPr>
              <w:rPr>
                <w:rFonts w:cstheme="minorHAnsi"/>
              </w:rPr>
            </w:pPr>
            <w:r>
              <w:rPr>
                <w:rFonts w:cstheme="minorHAnsi"/>
              </w:rPr>
              <w:t xml:space="preserve">I expect there will be a need for flexibility due to health or other issues related to COVID-19. I am very willing to be flexible as long as you keep me informed of your needs. Please </w:t>
            </w:r>
            <w:r w:rsidR="00A776D2">
              <w:rPr>
                <w:rFonts w:cstheme="minorHAnsi"/>
              </w:rPr>
              <w:t>contact</w:t>
            </w:r>
            <w:r>
              <w:rPr>
                <w:rFonts w:cstheme="minorHAnsi"/>
              </w:rPr>
              <w:t xml:space="preserve">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4604FA47" w:rsidR="00233E54" w:rsidRPr="002F7E51" w:rsidRDefault="002E36A7"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681BDA7C"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1F25FAC2" w14:textId="5D823AEF"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3DBDA8E5" w:rsidR="00671C88" w:rsidRPr="00361651" w:rsidRDefault="00671C88" w:rsidP="00671C88">
            <w:pPr>
              <w:tabs>
                <w:tab w:val="left" w:pos="-720"/>
              </w:tabs>
              <w:suppressAutoHyphens/>
              <w:spacing w:line="276" w:lineRule="auto"/>
              <w:jc w:val="right"/>
              <w:rPr>
                <w:spacing w:val="-3"/>
                <w:szCs w:val="24"/>
              </w:rPr>
            </w:pPr>
            <w:r w:rsidRPr="00B6002E">
              <w:t>8</w:t>
            </w:r>
            <w:r w:rsidR="00297F86">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542B8A8C" w:rsidR="00671C88" w:rsidRPr="00361651" w:rsidRDefault="00297F86" w:rsidP="00671C88">
            <w:pPr>
              <w:tabs>
                <w:tab w:val="left" w:pos="-720"/>
              </w:tabs>
              <w:suppressAutoHyphens/>
              <w:spacing w:line="276" w:lineRule="auto"/>
              <w:jc w:val="right"/>
              <w:rPr>
                <w:spacing w:val="-3"/>
                <w:szCs w:val="24"/>
              </w:rPr>
            </w:pPr>
            <w:r>
              <w:t>82.0%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641B4DC2" w:rsidR="00671C88" w:rsidRPr="00361651" w:rsidRDefault="00671C88" w:rsidP="00671C88">
            <w:pPr>
              <w:tabs>
                <w:tab w:val="left" w:pos="-720"/>
              </w:tabs>
              <w:suppressAutoHyphens/>
              <w:spacing w:line="276" w:lineRule="auto"/>
              <w:rPr>
                <w:spacing w:val="-3"/>
                <w:szCs w:val="24"/>
              </w:rPr>
            </w:pPr>
            <w:r>
              <w:t>8</w:t>
            </w:r>
            <w:r w:rsidR="00297F86">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2D0E8B04" w:rsidR="00671C88" w:rsidRPr="00361651" w:rsidRDefault="00297F86"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56F4A96" w:rsidR="00671C88" w:rsidRPr="00361651" w:rsidRDefault="00671C88" w:rsidP="00671C88">
            <w:pPr>
              <w:tabs>
                <w:tab w:val="left" w:pos="-720"/>
              </w:tabs>
              <w:suppressAutoHyphens/>
              <w:spacing w:line="276" w:lineRule="auto"/>
              <w:rPr>
                <w:spacing w:val="-3"/>
                <w:szCs w:val="24"/>
              </w:rPr>
            </w:pPr>
            <w:r>
              <w:t>8</w:t>
            </w:r>
            <w:r w:rsidR="00297F86">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206895F5" w:rsidR="00671C88" w:rsidRPr="00361651" w:rsidRDefault="00671C88" w:rsidP="00671C88">
            <w:pPr>
              <w:tabs>
                <w:tab w:val="left" w:pos="-720"/>
              </w:tabs>
              <w:suppressAutoHyphens/>
              <w:spacing w:line="276" w:lineRule="auto"/>
              <w:jc w:val="right"/>
              <w:rPr>
                <w:spacing w:val="-3"/>
                <w:szCs w:val="24"/>
              </w:rPr>
            </w:pPr>
            <w:r w:rsidRPr="00B6002E">
              <w:t>7</w:t>
            </w:r>
            <w:r w:rsidR="00804312">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7F9AF103" w:rsidR="00671C88" w:rsidRPr="00361651" w:rsidRDefault="00671C88" w:rsidP="00671C88">
            <w:pPr>
              <w:tabs>
                <w:tab w:val="left" w:pos="-720"/>
              </w:tabs>
              <w:suppressAutoHyphens/>
              <w:spacing w:line="276" w:lineRule="auto"/>
              <w:rPr>
                <w:spacing w:val="-3"/>
                <w:szCs w:val="24"/>
              </w:rPr>
            </w:pPr>
            <w:r>
              <w:t>7</w:t>
            </w:r>
            <w:r w:rsidR="00804312">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5D19198A" w:rsidR="00671C88" w:rsidRPr="00361651" w:rsidRDefault="00671C88" w:rsidP="00671C88">
            <w:pPr>
              <w:tabs>
                <w:tab w:val="left" w:pos="-720"/>
              </w:tabs>
              <w:suppressAutoHyphens/>
              <w:spacing w:line="276" w:lineRule="auto"/>
              <w:jc w:val="right"/>
              <w:rPr>
                <w:spacing w:val="-3"/>
                <w:szCs w:val="24"/>
              </w:rPr>
            </w:pPr>
            <w:r w:rsidRPr="00B6002E">
              <w:t>7</w:t>
            </w:r>
            <w:r w:rsidR="00804312">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E940B06" w:rsidR="00671C88" w:rsidRPr="00361651" w:rsidRDefault="00671C88" w:rsidP="00671C88">
            <w:pPr>
              <w:tabs>
                <w:tab w:val="left" w:pos="-720"/>
              </w:tabs>
              <w:suppressAutoHyphens/>
              <w:spacing w:line="276" w:lineRule="auto"/>
              <w:rPr>
                <w:spacing w:val="-3"/>
                <w:szCs w:val="24"/>
              </w:rPr>
            </w:pPr>
            <w:r>
              <w:t>7</w:t>
            </w:r>
            <w:r w:rsidR="00804312">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B16BF25" w:rsidR="00671C88" w:rsidRPr="00361651" w:rsidRDefault="00804312"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757D4A9" w:rsidR="00671C88" w:rsidRPr="00361651" w:rsidRDefault="00671C88" w:rsidP="00671C88">
            <w:pPr>
              <w:tabs>
                <w:tab w:val="left" w:pos="-720"/>
              </w:tabs>
              <w:suppressAutoHyphens/>
              <w:spacing w:line="276" w:lineRule="auto"/>
              <w:rPr>
                <w:spacing w:val="-3"/>
                <w:szCs w:val="24"/>
              </w:rPr>
            </w:pPr>
            <w:r>
              <w:t>7</w:t>
            </w:r>
            <w:r w:rsidR="00804312">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6EF6C167" w:rsidR="00671C88" w:rsidRPr="00361651" w:rsidRDefault="00671C88" w:rsidP="00671C88">
            <w:pPr>
              <w:tabs>
                <w:tab w:val="left" w:pos="-720"/>
              </w:tabs>
              <w:suppressAutoHyphens/>
              <w:spacing w:line="276" w:lineRule="auto"/>
              <w:jc w:val="right"/>
              <w:rPr>
                <w:spacing w:val="-3"/>
                <w:szCs w:val="24"/>
              </w:rPr>
            </w:pPr>
            <w:r w:rsidRPr="00B6002E">
              <w:t>6</w:t>
            </w:r>
            <w:r w:rsidR="00804312">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848FAB" w:rsidR="00671C88" w:rsidRPr="00361651" w:rsidRDefault="00671C88" w:rsidP="00671C88">
            <w:pPr>
              <w:tabs>
                <w:tab w:val="left" w:pos="-720"/>
              </w:tabs>
              <w:suppressAutoHyphens/>
              <w:spacing w:line="276" w:lineRule="auto"/>
              <w:rPr>
                <w:spacing w:val="-3"/>
                <w:szCs w:val="24"/>
              </w:rPr>
            </w:pPr>
            <w:r>
              <w:t>6</w:t>
            </w:r>
            <w:r w:rsidR="00804312">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30C2BF7" w:rsidR="00671C88" w:rsidRPr="002F7E51" w:rsidRDefault="00804312" w:rsidP="004E3ABB">
            <w:pPr>
              <w:rPr>
                <w:rFonts w:cstheme="minorHAnsi"/>
              </w:rPr>
            </w:pPr>
            <w:r>
              <w:rPr>
                <w:rFonts w:cstheme="minorHAnsi"/>
              </w:rPr>
              <w:t>The above chart shows my intended grading scale. Based on class performance, I may choose to make the grading scale more generous, but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345"/>
        <w:gridCol w:w="1350"/>
        <w:gridCol w:w="2700"/>
        <w:gridCol w:w="2160"/>
        <w:gridCol w:w="1413"/>
      </w:tblGrid>
      <w:tr w:rsidR="009446FE" w:rsidRPr="001C697E" w14:paraId="002009F9" w14:textId="77777777" w:rsidTr="00CF2DD5">
        <w:trPr>
          <w:trHeight w:val="252"/>
        </w:trPr>
        <w:tc>
          <w:tcPr>
            <w:tcW w:w="134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35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2700"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216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13"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CF2DD5">
        <w:trPr>
          <w:trHeight w:val="252"/>
        </w:trPr>
        <w:tc>
          <w:tcPr>
            <w:tcW w:w="1345" w:type="dxa"/>
            <w:tcBorders>
              <w:top w:val="single" w:sz="12" w:space="0" w:color="auto"/>
            </w:tcBorders>
          </w:tcPr>
          <w:p w14:paraId="682B4E53" w14:textId="0AD319A8" w:rsidR="009446FE" w:rsidRPr="00361651" w:rsidRDefault="00C86091" w:rsidP="004E3ABB">
            <w:pPr>
              <w:tabs>
                <w:tab w:val="left" w:pos="-720"/>
              </w:tabs>
              <w:suppressAutoHyphens/>
              <w:spacing w:line="276" w:lineRule="auto"/>
              <w:jc w:val="center"/>
              <w:rPr>
                <w:spacing w:val="-3"/>
                <w:szCs w:val="24"/>
              </w:rPr>
            </w:pPr>
            <w:r>
              <w:rPr>
                <w:spacing w:val="-3"/>
                <w:szCs w:val="24"/>
              </w:rPr>
              <w:t>100</w:t>
            </w:r>
          </w:p>
        </w:tc>
        <w:tc>
          <w:tcPr>
            <w:tcW w:w="1350" w:type="dxa"/>
            <w:tcBorders>
              <w:top w:val="single" w:sz="12" w:space="0" w:color="auto"/>
            </w:tcBorders>
          </w:tcPr>
          <w:p w14:paraId="6068C12F" w14:textId="36602B08" w:rsidR="009446FE" w:rsidRPr="00361651" w:rsidRDefault="001B38CD" w:rsidP="00804312">
            <w:pPr>
              <w:tabs>
                <w:tab w:val="left" w:pos="-720"/>
              </w:tabs>
              <w:suppressAutoHyphens/>
              <w:spacing w:line="276" w:lineRule="auto"/>
              <w:jc w:val="center"/>
              <w:rPr>
                <w:spacing w:val="-3"/>
                <w:szCs w:val="24"/>
              </w:rPr>
            </w:pPr>
            <w:r>
              <w:rPr>
                <w:spacing w:val="-3"/>
                <w:szCs w:val="24"/>
              </w:rPr>
              <w:t>10</w:t>
            </w:r>
            <w:r w:rsidR="00804312">
              <w:rPr>
                <w:spacing w:val="-3"/>
                <w:szCs w:val="24"/>
              </w:rPr>
              <w:t>%</w:t>
            </w:r>
          </w:p>
        </w:tc>
        <w:tc>
          <w:tcPr>
            <w:tcW w:w="2700" w:type="dxa"/>
            <w:tcBorders>
              <w:top w:val="single" w:sz="12" w:space="0" w:color="auto"/>
            </w:tcBorders>
          </w:tcPr>
          <w:p w14:paraId="709BD609" w14:textId="52390DD0" w:rsidR="009446FE" w:rsidRPr="002F7E51" w:rsidRDefault="00846C7B" w:rsidP="00CF2DD5">
            <w:pPr>
              <w:jc w:val="center"/>
              <w:rPr>
                <w:rFonts w:cstheme="minorHAnsi"/>
              </w:rPr>
            </w:pPr>
            <w:r>
              <w:rPr>
                <w:rFonts w:cstheme="minorHAnsi"/>
              </w:rPr>
              <w:t xml:space="preserve"> Participation</w:t>
            </w:r>
          </w:p>
        </w:tc>
        <w:tc>
          <w:tcPr>
            <w:tcW w:w="2160" w:type="dxa"/>
            <w:tcBorders>
              <w:top w:val="single" w:sz="12" w:space="0" w:color="auto"/>
            </w:tcBorders>
          </w:tcPr>
          <w:p w14:paraId="256F0065" w14:textId="4D1490A4" w:rsidR="009446FE" w:rsidRPr="00B6002E" w:rsidRDefault="00C86091" w:rsidP="004E3ABB">
            <w:pPr>
              <w:jc w:val="center"/>
            </w:pPr>
            <w:r>
              <w:t>Par</w:t>
            </w:r>
            <w:r w:rsidR="00CF2DD5">
              <w:t>ticipation</w:t>
            </w:r>
          </w:p>
        </w:tc>
        <w:tc>
          <w:tcPr>
            <w:tcW w:w="1413" w:type="dxa"/>
            <w:tcBorders>
              <w:top w:val="single" w:sz="12" w:space="0" w:color="auto"/>
            </w:tcBorders>
          </w:tcPr>
          <w:p w14:paraId="2E6EF68A" w14:textId="0C647FA2" w:rsidR="009446FE" w:rsidRPr="00361651" w:rsidRDefault="001B38CD" w:rsidP="00804312">
            <w:pPr>
              <w:tabs>
                <w:tab w:val="left" w:pos="-720"/>
              </w:tabs>
              <w:suppressAutoHyphens/>
              <w:spacing w:line="276" w:lineRule="auto"/>
              <w:jc w:val="center"/>
              <w:rPr>
                <w:spacing w:val="-3"/>
              </w:rPr>
            </w:pPr>
            <w:r>
              <w:rPr>
                <w:spacing w:val="-3"/>
              </w:rPr>
              <w:t>10</w:t>
            </w:r>
            <w:r w:rsidR="00804312">
              <w:rPr>
                <w:spacing w:val="-3"/>
              </w:rPr>
              <w:t>%</w:t>
            </w:r>
          </w:p>
        </w:tc>
      </w:tr>
      <w:tr w:rsidR="009446FE" w:rsidRPr="001C697E" w14:paraId="671B895D" w14:textId="77777777" w:rsidTr="00CF2DD5">
        <w:trPr>
          <w:trHeight w:val="252"/>
        </w:trPr>
        <w:tc>
          <w:tcPr>
            <w:tcW w:w="1345" w:type="dxa"/>
          </w:tcPr>
          <w:p w14:paraId="12E931D9" w14:textId="41E5409C"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1729FE0B" w14:textId="302B990D" w:rsidR="009446FE" w:rsidRPr="00361651" w:rsidRDefault="00804312" w:rsidP="00804312">
            <w:pPr>
              <w:tabs>
                <w:tab w:val="left" w:pos="-720"/>
              </w:tabs>
              <w:suppressAutoHyphens/>
              <w:spacing w:line="276" w:lineRule="auto"/>
              <w:jc w:val="center"/>
              <w:rPr>
                <w:spacing w:val="-3"/>
                <w:szCs w:val="24"/>
              </w:rPr>
            </w:pPr>
            <w:r>
              <w:rPr>
                <w:spacing w:val="-3"/>
                <w:szCs w:val="24"/>
              </w:rPr>
              <w:t>2</w:t>
            </w:r>
            <w:r w:rsidR="00CF2DD5">
              <w:rPr>
                <w:spacing w:val="-3"/>
                <w:szCs w:val="24"/>
              </w:rPr>
              <w:t>5</w:t>
            </w:r>
            <w:r>
              <w:rPr>
                <w:spacing w:val="-3"/>
                <w:szCs w:val="24"/>
              </w:rPr>
              <w:t>%</w:t>
            </w:r>
          </w:p>
        </w:tc>
        <w:tc>
          <w:tcPr>
            <w:tcW w:w="2700" w:type="dxa"/>
          </w:tcPr>
          <w:p w14:paraId="4400EB82" w14:textId="79CF03A1" w:rsidR="009446FE" w:rsidRPr="00B6002E" w:rsidRDefault="00804312" w:rsidP="00804312">
            <w:pPr>
              <w:jc w:val="center"/>
            </w:pPr>
            <w:r>
              <w:t>Exam 1</w:t>
            </w:r>
          </w:p>
        </w:tc>
        <w:tc>
          <w:tcPr>
            <w:tcW w:w="2160" w:type="dxa"/>
          </w:tcPr>
          <w:p w14:paraId="7257AA79" w14:textId="2F2827DF" w:rsidR="009446FE" w:rsidRPr="00B6002E" w:rsidRDefault="00804312" w:rsidP="004E3ABB">
            <w:pPr>
              <w:jc w:val="center"/>
            </w:pPr>
            <w:r>
              <w:t>Exams</w:t>
            </w:r>
          </w:p>
        </w:tc>
        <w:tc>
          <w:tcPr>
            <w:tcW w:w="1413" w:type="dxa"/>
          </w:tcPr>
          <w:p w14:paraId="2833D267" w14:textId="4B99FB14" w:rsidR="009446FE" w:rsidRDefault="009446FE" w:rsidP="00804312">
            <w:pPr>
              <w:tabs>
                <w:tab w:val="left" w:pos="-720"/>
              </w:tabs>
              <w:suppressAutoHyphens/>
              <w:spacing w:line="276" w:lineRule="auto"/>
              <w:jc w:val="center"/>
            </w:pPr>
          </w:p>
        </w:tc>
      </w:tr>
      <w:tr w:rsidR="009446FE" w:rsidRPr="001C697E" w14:paraId="74F4D8D1" w14:textId="77777777" w:rsidTr="00CF2DD5">
        <w:trPr>
          <w:trHeight w:val="252"/>
        </w:trPr>
        <w:tc>
          <w:tcPr>
            <w:tcW w:w="1345" w:type="dxa"/>
          </w:tcPr>
          <w:p w14:paraId="455CC3EE" w14:textId="0A3CB9E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12D551DD" w14:textId="20DF3C49" w:rsidR="009446FE" w:rsidRPr="00361651" w:rsidRDefault="00CF2DD5" w:rsidP="00804312">
            <w:pPr>
              <w:tabs>
                <w:tab w:val="left" w:pos="-720"/>
              </w:tabs>
              <w:suppressAutoHyphens/>
              <w:spacing w:line="276" w:lineRule="auto"/>
              <w:jc w:val="center"/>
              <w:rPr>
                <w:spacing w:val="-3"/>
                <w:szCs w:val="24"/>
              </w:rPr>
            </w:pPr>
            <w:r>
              <w:rPr>
                <w:spacing w:val="-3"/>
                <w:szCs w:val="24"/>
              </w:rPr>
              <w:t>25</w:t>
            </w:r>
            <w:r w:rsidR="00804312">
              <w:rPr>
                <w:spacing w:val="-3"/>
                <w:szCs w:val="24"/>
              </w:rPr>
              <w:t>%</w:t>
            </w:r>
          </w:p>
        </w:tc>
        <w:tc>
          <w:tcPr>
            <w:tcW w:w="2700" w:type="dxa"/>
          </w:tcPr>
          <w:p w14:paraId="7C8BF71B" w14:textId="79832AA6" w:rsidR="009446FE" w:rsidRPr="00B6002E" w:rsidRDefault="00804312" w:rsidP="00804312">
            <w:pPr>
              <w:jc w:val="center"/>
            </w:pPr>
            <w:r>
              <w:t>Exam 2</w:t>
            </w:r>
          </w:p>
        </w:tc>
        <w:tc>
          <w:tcPr>
            <w:tcW w:w="2160" w:type="dxa"/>
          </w:tcPr>
          <w:p w14:paraId="2093B28F" w14:textId="118F4742" w:rsidR="009446FE" w:rsidRPr="00B6002E" w:rsidRDefault="00804312" w:rsidP="004E3ABB">
            <w:pPr>
              <w:jc w:val="center"/>
            </w:pPr>
            <w:r>
              <w:t>Exams</w:t>
            </w:r>
          </w:p>
        </w:tc>
        <w:tc>
          <w:tcPr>
            <w:tcW w:w="1413" w:type="dxa"/>
          </w:tcPr>
          <w:p w14:paraId="5D35D337" w14:textId="2FF0283F" w:rsidR="009446FE" w:rsidRDefault="00A90717" w:rsidP="00804312">
            <w:pPr>
              <w:tabs>
                <w:tab w:val="left" w:pos="-720"/>
              </w:tabs>
              <w:suppressAutoHyphens/>
              <w:spacing w:line="276" w:lineRule="auto"/>
              <w:jc w:val="center"/>
            </w:pPr>
            <w:r>
              <w:t>50</w:t>
            </w:r>
            <w:r w:rsidR="0044001C">
              <w:t>%</w:t>
            </w:r>
          </w:p>
        </w:tc>
      </w:tr>
      <w:tr w:rsidR="009446FE" w:rsidRPr="001C697E" w14:paraId="11CD7E02" w14:textId="77777777" w:rsidTr="00CF2DD5">
        <w:trPr>
          <w:trHeight w:val="252"/>
        </w:trPr>
        <w:tc>
          <w:tcPr>
            <w:tcW w:w="1345" w:type="dxa"/>
          </w:tcPr>
          <w:p w14:paraId="2D80DA7E" w14:textId="15AD6BE7"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434ADD64" w14:textId="4FC45CC3" w:rsidR="009446FE" w:rsidRPr="00361651" w:rsidRDefault="001B38CD" w:rsidP="00804312">
            <w:pPr>
              <w:tabs>
                <w:tab w:val="left" w:pos="-720"/>
              </w:tabs>
              <w:suppressAutoHyphens/>
              <w:spacing w:line="276" w:lineRule="auto"/>
              <w:jc w:val="center"/>
              <w:rPr>
                <w:spacing w:val="-3"/>
                <w:szCs w:val="24"/>
              </w:rPr>
            </w:pPr>
            <w:r>
              <w:rPr>
                <w:spacing w:val="-3"/>
                <w:szCs w:val="24"/>
              </w:rPr>
              <w:t>40</w:t>
            </w:r>
            <w:r w:rsidR="00804312">
              <w:rPr>
                <w:spacing w:val="-3"/>
                <w:szCs w:val="24"/>
              </w:rPr>
              <w:t>%</w:t>
            </w:r>
          </w:p>
        </w:tc>
        <w:tc>
          <w:tcPr>
            <w:tcW w:w="2700" w:type="dxa"/>
          </w:tcPr>
          <w:p w14:paraId="13AC78C8" w14:textId="505BE025" w:rsidR="009446FE" w:rsidRPr="00B6002E" w:rsidRDefault="00A90717" w:rsidP="00804312">
            <w:pPr>
              <w:jc w:val="center"/>
            </w:pPr>
            <w:r>
              <w:t>Term Paper</w:t>
            </w:r>
          </w:p>
        </w:tc>
        <w:tc>
          <w:tcPr>
            <w:tcW w:w="2160" w:type="dxa"/>
          </w:tcPr>
          <w:p w14:paraId="5AA243D5" w14:textId="24281D1B" w:rsidR="009446FE" w:rsidRPr="00B6002E" w:rsidRDefault="00804312" w:rsidP="004E3ABB">
            <w:pPr>
              <w:jc w:val="center"/>
            </w:pPr>
            <w:r>
              <w:t>Exams</w:t>
            </w:r>
          </w:p>
        </w:tc>
        <w:tc>
          <w:tcPr>
            <w:tcW w:w="1413" w:type="dxa"/>
          </w:tcPr>
          <w:p w14:paraId="1E111E8B" w14:textId="2A6B88EF" w:rsidR="009446FE" w:rsidRDefault="001B38CD" w:rsidP="00804312">
            <w:pPr>
              <w:tabs>
                <w:tab w:val="left" w:pos="-720"/>
              </w:tabs>
              <w:suppressAutoHyphens/>
              <w:spacing w:line="276" w:lineRule="auto"/>
              <w:jc w:val="center"/>
            </w:pPr>
            <w:r>
              <w:t>40</w:t>
            </w:r>
            <w:r w:rsidR="00804312">
              <w:t>%</w:t>
            </w:r>
          </w:p>
        </w:tc>
      </w:tr>
      <w:tr w:rsidR="009446FE" w:rsidRPr="001C697E" w14:paraId="4D8113B5" w14:textId="77777777" w:rsidTr="00CF2DD5">
        <w:trPr>
          <w:trHeight w:val="252"/>
        </w:trPr>
        <w:tc>
          <w:tcPr>
            <w:tcW w:w="1345" w:type="dxa"/>
            <w:tcBorders>
              <w:top w:val="single" w:sz="8" w:space="0" w:color="auto"/>
            </w:tcBorders>
          </w:tcPr>
          <w:p w14:paraId="53289A70" w14:textId="07E2B869" w:rsidR="009446FE" w:rsidRPr="00361651" w:rsidRDefault="00804312" w:rsidP="004E3ABB">
            <w:pPr>
              <w:tabs>
                <w:tab w:val="left" w:pos="-720"/>
              </w:tabs>
              <w:suppressAutoHyphens/>
              <w:spacing w:line="276" w:lineRule="auto"/>
              <w:jc w:val="center"/>
              <w:rPr>
                <w:spacing w:val="-3"/>
                <w:szCs w:val="24"/>
              </w:rPr>
            </w:pPr>
            <w:r>
              <w:rPr>
                <w:spacing w:val="-3"/>
                <w:szCs w:val="24"/>
              </w:rPr>
              <w:t>500</w:t>
            </w:r>
          </w:p>
        </w:tc>
        <w:tc>
          <w:tcPr>
            <w:tcW w:w="1350" w:type="dxa"/>
            <w:tcBorders>
              <w:top w:val="single" w:sz="8" w:space="0" w:color="auto"/>
            </w:tcBorders>
          </w:tcPr>
          <w:p w14:paraId="57B9A190" w14:textId="154411B2" w:rsidR="009446FE" w:rsidRPr="009446FE" w:rsidRDefault="009446FE" w:rsidP="00804312">
            <w:pPr>
              <w:tabs>
                <w:tab w:val="left" w:pos="-720"/>
              </w:tabs>
              <w:suppressAutoHyphens/>
              <w:spacing w:line="276" w:lineRule="auto"/>
              <w:jc w:val="center"/>
              <w:rPr>
                <w:b/>
                <w:bCs/>
                <w:spacing w:val="-3"/>
                <w:szCs w:val="24"/>
              </w:rPr>
            </w:pPr>
            <w:r w:rsidRPr="009446FE">
              <w:rPr>
                <w:b/>
                <w:bCs/>
                <w:spacing w:val="-3"/>
                <w:szCs w:val="24"/>
              </w:rPr>
              <w:t>100%</w:t>
            </w:r>
          </w:p>
        </w:tc>
        <w:tc>
          <w:tcPr>
            <w:tcW w:w="2700"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2160" w:type="dxa"/>
            <w:tcBorders>
              <w:top w:val="single" w:sz="8" w:space="0" w:color="auto"/>
            </w:tcBorders>
          </w:tcPr>
          <w:p w14:paraId="05FA1D86" w14:textId="40FCEA92" w:rsidR="009446FE" w:rsidRPr="00B6002E" w:rsidRDefault="009446FE" w:rsidP="004E3ABB">
            <w:pPr>
              <w:jc w:val="center"/>
            </w:pPr>
          </w:p>
        </w:tc>
        <w:tc>
          <w:tcPr>
            <w:tcW w:w="1413"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3514EF42"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280EE745" w14:textId="5CE0BF3A"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0B77750" w:rsidR="00C83888" w:rsidRPr="002F7E51" w:rsidRDefault="005E5682" w:rsidP="000F3624">
            <w:pPr>
              <w:rPr>
                <w:rFonts w:cstheme="minorHAnsi"/>
              </w:rPr>
            </w:pPr>
            <w:r>
              <w:rPr>
                <w:rFonts w:cstheme="minorHAnsi"/>
              </w:rPr>
              <w:t xml:space="preserve">There are </w:t>
            </w:r>
            <w:r w:rsidR="00A90717">
              <w:rPr>
                <w:rFonts w:cstheme="minorHAnsi"/>
              </w:rPr>
              <w:t>2 exams in this course</w:t>
            </w:r>
            <w:r w:rsidR="00DD0930">
              <w:rPr>
                <w:rFonts w:cstheme="minorHAnsi"/>
              </w:rPr>
              <w:t>.</w:t>
            </w:r>
            <w:r w:rsidR="006150E5">
              <w:rPr>
                <w:rFonts w:cstheme="minorHAnsi"/>
              </w:rPr>
              <w:t xml:space="preserve"> Exams will include a variety of short essay questions. Exams will be distributed approximately one week </w:t>
            </w:r>
            <w:r w:rsidR="00223496">
              <w:rPr>
                <w:rFonts w:cstheme="minorHAnsi"/>
              </w:rPr>
              <w:t xml:space="preserve">prior to their due date. </w:t>
            </w:r>
          </w:p>
        </w:tc>
      </w:tr>
    </w:tbl>
    <w:p w14:paraId="52FFE331" w14:textId="4F45CBC8" w:rsidR="00C83888" w:rsidRPr="002F7E51" w:rsidRDefault="001B38CD" w:rsidP="004706F5">
      <w:pPr>
        <w:pStyle w:val="Heading2"/>
      </w:pPr>
      <w:r>
        <w:t>Literature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B70BBCF" w:rsidR="00C83888" w:rsidRPr="002F7E51" w:rsidRDefault="001B38CD" w:rsidP="000F3624">
            <w:pPr>
              <w:rPr>
                <w:rFonts w:cstheme="minorHAnsi"/>
              </w:rPr>
            </w:pPr>
            <w:r>
              <w:rPr>
                <w:bCs/>
                <w:sz w:val="24"/>
              </w:rPr>
              <w:t>Students will be required to write a paper examining an applied topic of your choice.  Students will be required to complete: 1) a proposal and preliminary list of references, 2) a preliminary draft of the paper, to be evaluated by other students in the class, 3) an academic presentation of the paper, and 4) a final draft of the paper.  Specific details and due dates will be distributed separately.  The grade on the paper will account for 40% of your final grade and will be based on: completion of an acceptable proposal (20 points), participation in the writing workshop (20 points), my assessment of the presentation (40 points), and my assessment of the final draft (80 points).  Specific details for the paper assignment will be distributed in class.</w:t>
            </w:r>
          </w:p>
        </w:tc>
      </w:tr>
    </w:tbl>
    <w:p w14:paraId="5ECAFD2F" w14:textId="1BDF69F8" w:rsidR="00D57096" w:rsidRPr="002F7E51" w:rsidRDefault="001B38CD" w:rsidP="004706F5">
      <w:pPr>
        <w:pStyle w:val="Heading2"/>
      </w:pPr>
      <w:r>
        <w:t>Participation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5B181FD9" w:rsidR="00D57096" w:rsidRPr="002F7E51" w:rsidRDefault="00223496" w:rsidP="000F3624">
            <w:pPr>
              <w:rPr>
                <w:rFonts w:cstheme="minorHAnsi"/>
              </w:rPr>
            </w:pPr>
            <w:r>
              <w:rPr>
                <w:rFonts w:cstheme="minorHAnsi"/>
              </w:rPr>
              <w:t xml:space="preserve">There will be a number of </w:t>
            </w:r>
            <w:r w:rsidR="00A90717">
              <w:rPr>
                <w:rFonts w:cstheme="minorHAnsi"/>
              </w:rPr>
              <w:t>in</w:t>
            </w:r>
            <w:r w:rsidR="001B38CD">
              <w:rPr>
                <w:rFonts w:cstheme="minorHAnsi"/>
              </w:rPr>
              <w:t>-</w:t>
            </w:r>
            <w:r w:rsidR="00A90717">
              <w:rPr>
                <w:rFonts w:cstheme="minorHAnsi"/>
              </w:rPr>
              <w:t>class discussion assignments</w:t>
            </w:r>
            <w:r w:rsidR="001B38CD">
              <w:rPr>
                <w:rFonts w:cstheme="minorHAnsi"/>
              </w:rPr>
              <w:t xml:space="preserve"> as well as asynchronous discussion equivalents for those not in attendance. Students will be asked to summarize and discuss current health care topics covered in the media. Specific details will be discussed in class and recorded for online learners.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4DF16E71" w14:textId="224AB60A" w:rsidR="000F044E" w:rsidRPr="000F044E" w:rsidRDefault="00804312" w:rsidP="002E36A7">
            <w:r>
              <w:t xml:space="preserve">While participation in Pro Events are highly encouraged to enhance your education and career preparation, there is no participation </w:t>
            </w:r>
            <w:r w:rsidR="002E36A7">
              <w:t>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7"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8"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lastRenderedPageBreak/>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2F681B8D" w14:textId="77777777" w:rsidR="006811BA" w:rsidRDefault="006811BA">
      <w:pPr>
        <w:rPr>
          <w:rFonts w:ascii="Times New Roman" w:hAnsi="Times New Roman" w:cs="Times New Roman"/>
          <w:b/>
          <w:i/>
          <w:sz w:val="24"/>
        </w:rPr>
      </w:pPr>
      <w:r>
        <w:br w:type="page"/>
      </w:r>
    </w:p>
    <w:p w14:paraId="20868D58" w14:textId="578F4C1F"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6"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B777A48" w14:textId="77777777" w:rsidR="006811BA" w:rsidRDefault="006811BA">
      <w:pPr>
        <w:rPr>
          <w:rFonts w:ascii="Times New Roman" w:hAnsi="Times New Roman" w:cs="Times New Roman"/>
          <w:b/>
          <w:i/>
          <w:sz w:val="24"/>
        </w:rPr>
      </w:pPr>
      <w:r>
        <w:br w:type="page"/>
      </w:r>
    </w:p>
    <w:p w14:paraId="7F765295" w14:textId="65CB187E"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227C53F8" w14:textId="77777777" w:rsidR="006811BA" w:rsidRDefault="006811BA">
      <w:pPr>
        <w:rPr>
          <w:rFonts w:ascii="Times New Roman" w:hAnsi="Times New Roman" w:cs="Times New Roman"/>
          <w:b/>
          <w:i/>
          <w:sz w:val="24"/>
        </w:rPr>
      </w:pPr>
      <w:r>
        <w:br w:type="page"/>
      </w:r>
    </w:p>
    <w:p w14:paraId="7244E50B" w14:textId="06346110"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066734D6" w14:textId="77777777" w:rsidR="00CB7CEB" w:rsidRDefault="00CB7CEB">
      <w:pPr>
        <w:rPr>
          <w:rFonts w:ascii="Times New Roman" w:hAnsi="Times New Roman" w:cs="Times New Roman"/>
          <w:b/>
          <w:i/>
          <w:sz w:val="24"/>
        </w:rPr>
      </w:pPr>
      <w:r>
        <w:br w:type="page"/>
      </w:r>
    </w:p>
    <w:p w14:paraId="55EAE62B" w14:textId="42710F5D" w:rsidR="003C083B" w:rsidRPr="002F7E51" w:rsidRDefault="003C083B" w:rsidP="003C083B">
      <w:pPr>
        <w:pStyle w:val="Heading2"/>
      </w:pPr>
      <w:r>
        <w:lastRenderedPageBreak/>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6"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7"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E3D7" w14:textId="77777777" w:rsidR="00275499" w:rsidRDefault="00275499" w:rsidP="00C35C23">
      <w:r>
        <w:separator/>
      </w:r>
    </w:p>
  </w:endnote>
  <w:endnote w:type="continuationSeparator" w:id="0">
    <w:p w14:paraId="429D1E2D" w14:textId="77777777" w:rsidR="00275499" w:rsidRDefault="0027549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A90717" w:rsidRDefault="00A90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0E0384B" w:rsidR="00A90717" w:rsidRPr="002B7BF6" w:rsidRDefault="00A90717"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F3B3B">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A90717" w:rsidRPr="008C3F46" w:rsidRDefault="00A90717"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7F1C" w14:textId="77777777" w:rsidR="00275499" w:rsidRDefault="00275499" w:rsidP="00C35C23">
      <w:r>
        <w:separator/>
      </w:r>
    </w:p>
  </w:footnote>
  <w:footnote w:type="continuationSeparator" w:id="0">
    <w:p w14:paraId="098CA77D" w14:textId="77777777" w:rsidR="00275499" w:rsidRDefault="0027549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A90717" w:rsidRDefault="00A90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A90717" w:rsidRDefault="00A90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A90717" w:rsidRPr="008C3F46" w:rsidRDefault="00A90717"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E1CA6"/>
    <w:multiLevelType w:val="hybridMultilevel"/>
    <w:tmpl w:val="77CE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378845">
    <w:abstractNumId w:val="2"/>
  </w:num>
  <w:num w:numId="2" w16cid:durableId="203710410">
    <w:abstractNumId w:val="5"/>
  </w:num>
  <w:num w:numId="3" w16cid:durableId="495458941">
    <w:abstractNumId w:val="10"/>
  </w:num>
  <w:num w:numId="4" w16cid:durableId="301925760">
    <w:abstractNumId w:val="13"/>
  </w:num>
  <w:num w:numId="5" w16cid:durableId="2044206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4064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5107084">
    <w:abstractNumId w:val="10"/>
  </w:num>
  <w:num w:numId="8" w16cid:durableId="1619949984">
    <w:abstractNumId w:val="10"/>
  </w:num>
  <w:num w:numId="9" w16cid:durableId="2086142430">
    <w:abstractNumId w:val="10"/>
  </w:num>
  <w:num w:numId="10" w16cid:durableId="9827357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4755292">
    <w:abstractNumId w:val="10"/>
  </w:num>
  <w:num w:numId="12" w16cid:durableId="472723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440132">
    <w:abstractNumId w:val="1"/>
  </w:num>
  <w:num w:numId="14" w16cid:durableId="424111362">
    <w:abstractNumId w:val="9"/>
  </w:num>
  <w:num w:numId="15" w16cid:durableId="87580226">
    <w:abstractNumId w:val="12"/>
  </w:num>
  <w:num w:numId="16" w16cid:durableId="1496677410">
    <w:abstractNumId w:val="6"/>
  </w:num>
  <w:num w:numId="17" w16cid:durableId="1326517317">
    <w:abstractNumId w:val="11"/>
  </w:num>
  <w:num w:numId="18" w16cid:durableId="250745802">
    <w:abstractNumId w:val="7"/>
  </w:num>
  <w:num w:numId="19" w16cid:durableId="173688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9049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0309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2786850">
    <w:abstractNumId w:val="4"/>
  </w:num>
  <w:num w:numId="23" w16cid:durableId="1133518579">
    <w:abstractNumId w:val="15"/>
  </w:num>
  <w:num w:numId="24" w16cid:durableId="1706442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19745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3439489">
    <w:abstractNumId w:val="16"/>
  </w:num>
  <w:num w:numId="27" w16cid:durableId="773289556">
    <w:abstractNumId w:val="3"/>
  </w:num>
  <w:num w:numId="28" w16cid:durableId="286862258">
    <w:abstractNumId w:val="14"/>
  </w:num>
  <w:num w:numId="29" w16cid:durableId="1223446461">
    <w:abstractNumId w:val="0"/>
  </w:num>
  <w:num w:numId="30" w16cid:durableId="1155611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44F8D"/>
    <w:rsid w:val="000527FB"/>
    <w:rsid w:val="0007274A"/>
    <w:rsid w:val="000733B7"/>
    <w:rsid w:val="00076465"/>
    <w:rsid w:val="000C4D9A"/>
    <w:rsid w:val="000D2A14"/>
    <w:rsid w:val="000F044E"/>
    <w:rsid w:val="000F3624"/>
    <w:rsid w:val="00145B7F"/>
    <w:rsid w:val="001668CB"/>
    <w:rsid w:val="001B38CD"/>
    <w:rsid w:val="001C647B"/>
    <w:rsid w:val="001C697E"/>
    <w:rsid w:val="001D308C"/>
    <w:rsid w:val="001F7957"/>
    <w:rsid w:val="0020212B"/>
    <w:rsid w:val="002205F4"/>
    <w:rsid w:val="00223496"/>
    <w:rsid w:val="00233E54"/>
    <w:rsid w:val="00251A4B"/>
    <w:rsid w:val="00271DD3"/>
    <w:rsid w:val="00273188"/>
    <w:rsid w:val="00275499"/>
    <w:rsid w:val="00275568"/>
    <w:rsid w:val="00292DBE"/>
    <w:rsid w:val="00294E50"/>
    <w:rsid w:val="00297F86"/>
    <w:rsid w:val="002A6AF2"/>
    <w:rsid w:val="002A6FB9"/>
    <w:rsid w:val="002B7BF6"/>
    <w:rsid w:val="002D4518"/>
    <w:rsid w:val="002E36A7"/>
    <w:rsid w:val="002F7E51"/>
    <w:rsid w:val="00306352"/>
    <w:rsid w:val="00313578"/>
    <w:rsid w:val="003336AE"/>
    <w:rsid w:val="003501EC"/>
    <w:rsid w:val="00360BB5"/>
    <w:rsid w:val="00360D85"/>
    <w:rsid w:val="003826BD"/>
    <w:rsid w:val="0039799E"/>
    <w:rsid w:val="003C083B"/>
    <w:rsid w:val="003F062B"/>
    <w:rsid w:val="003F1AE1"/>
    <w:rsid w:val="004001D9"/>
    <w:rsid w:val="00427972"/>
    <w:rsid w:val="00434014"/>
    <w:rsid w:val="00436FFC"/>
    <w:rsid w:val="0044001C"/>
    <w:rsid w:val="00465F35"/>
    <w:rsid w:val="004677B7"/>
    <w:rsid w:val="004706F5"/>
    <w:rsid w:val="004E3ABB"/>
    <w:rsid w:val="005357A6"/>
    <w:rsid w:val="005559AF"/>
    <w:rsid w:val="005578A5"/>
    <w:rsid w:val="005966B4"/>
    <w:rsid w:val="005E17DE"/>
    <w:rsid w:val="005E20D8"/>
    <w:rsid w:val="005E5682"/>
    <w:rsid w:val="005F3B3B"/>
    <w:rsid w:val="00604A45"/>
    <w:rsid w:val="006150E5"/>
    <w:rsid w:val="00615E3A"/>
    <w:rsid w:val="00637563"/>
    <w:rsid w:val="006457A0"/>
    <w:rsid w:val="0064666B"/>
    <w:rsid w:val="00665B97"/>
    <w:rsid w:val="0067113A"/>
    <w:rsid w:val="00671C88"/>
    <w:rsid w:val="006811BA"/>
    <w:rsid w:val="00695857"/>
    <w:rsid w:val="006A0229"/>
    <w:rsid w:val="006C1564"/>
    <w:rsid w:val="006C5A8A"/>
    <w:rsid w:val="006E33E3"/>
    <w:rsid w:val="007025BC"/>
    <w:rsid w:val="00707C17"/>
    <w:rsid w:val="00731E75"/>
    <w:rsid w:val="00735105"/>
    <w:rsid w:val="00736B00"/>
    <w:rsid w:val="0074249A"/>
    <w:rsid w:val="00745254"/>
    <w:rsid w:val="007547EF"/>
    <w:rsid w:val="00777292"/>
    <w:rsid w:val="007B411F"/>
    <w:rsid w:val="007D0B4D"/>
    <w:rsid w:val="007D5408"/>
    <w:rsid w:val="007D63FF"/>
    <w:rsid w:val="007F5DBA"/>
    <w:rsid w:val="00802861"/>
    <w:rsid w:val="00804312"/>
    <w:rsid w:val="00823088"/>
    <w:rsid w:val="00835B66"/>
    <w:rsid w:val="008403EA"/>
    <w:rsid w:val="00846C7B"/>
    <w:rsid w:val="008521BA"/>
    <w:rsid w:val="0086726B"/>
    <w:rsid w:val="00867FFE"/>
    <w:rsid w:val="00877788"/>
    <w:rsid w:val="0088254E"/>
    <w:rsid w:val="008860E4"/>
    <w:rsid w:val="0089257E"/>
    <w:rsid w:val="008970BB"/>
    <w:rsid w:val="008B1CB9"/>
    <w:rsid w:val="008B2CD7"/>
    <w:rsid w:val="008C3F46"/>
    <w:rsid w:val="008C6FE3"/>
    <w:rsid w:val="008D4407"/>
    <w:rsid w:val="00900AB3"/>
    <w:rsid w:val="009107A2"/>
    <w:rsid w:val="0093400D"/>
    <w:rsid w:val="009446FE"/>
    <w:rsid w:val="009535AA"/>
    <w:rsid w:val="009A0912"/>
    <w:rsid w:val="009A1D09"/>
    <w:rsid w:val="009A3693"/>
    <w:rsid w:val="009A46C4"/>
    <w:rsid w:val="009E6DE9"/>
    <w:rsid w:val="009F0FFE"/>
    <w:rsid w:val="009F315B"/>
    <w:rsid w:val="009F7EB9"/>
    <w:rsid w:val="00A1057D"/>
    <w:rsid w:val="00A173D1"/>
    <w:rsid w:val="00A27AD7"/>
    <w:rsid w:val="00A3614E"/>
    <w:rsid w:val="00A63ABF"/>
    <w:rsid w:val="00A776D2"/>
    <w:rsid w:val="00A801B6"/>
    <w:rsid w:val="00A837A8"/>
    <w:rsid w:val="00A90717"/>
    <w:rsid w:val="00AA6DE0"/>
    <w:rsid w:val="00AC1576"/>
    <w:rsid w:val="00AC7ADA"/>
    <w:rsid w:val="00AD3676"/>
    <w:rsid w:val="00AE2A39"/>
    <w:rsid w:val="00B2465A"/>
    <w:rsid w:val="00B3485C"/>
    <w:rsid w:val="00B35819"/>
    <w:rsid w:val="00B40244"/>
    <w:rsid w:val="00B43293"/>
    <w:rsid w:val="00B87B54"/>
    <w:rsid w:val="00BA1CE4"/>
    <w:rsid w:val="00BA368E"/>
    <w:rsid w:val="00BC5A22"/>
    <w:rsid w:val="00C07D48"/>
    <w:rsid w:val="00C20C57"/>
    <w:rsid w:val="00C3030B"/>
    <w:rsid w:val="00C33A39"/>
    <w:rsid w:val="00C35C23"/>
    <w:rsid w:val="00C36586"/>
    <w:rsid w:val="00C70209"/>
    <w:rsid w:val="00C72ABB"/>
    <w:rsid w:val="00C83888"/>
    <w:rsid w:val="00C84B15"/>
    <w:rsid w:val="00C86091"/>
    <w:rsid w:val="00CA11A6"/>
    <w:rsid w:val="00CA4C51"/>
    <w:rsid w:val="00CA4E51"/>
    <w:rsid w:val="00CB0E92"/>
    <w:rsid w:val="00CB1519"/>
    <w:rsid w:val="00CB7CEB"/>
    <w:rsid w:val="00CE4D60"/>
    <w:rsid w:val="00CF2DD5"/>
    <w:rsid w:val="00CF2F84"/>
    <w:rsid w:val="00D116C8"/>
    <w:rsid w:val="00D5624E"/>
    <w:rsid w:val="00D56D7E"/>
    <w:rsid w:val="00D57096"/>
    <w:rsid w:val="00D67BE8"/>
    <w:rsid w:val="00D87241"/>
    <w:rsid w:val="00D90D49"/>
    <w:rsid w:val="00DC44C6"/>
    <w:rsid w:val="00DD0930"/>
    <w:rsid w:val="00DD5354"/>
    <w:rsid w:val="00DF1ABA"/>
    <w:rsid w:val="00E13D04"/>
    <w:rsid w:val="00E25846"/>
    <w:rsid w:val="00E306C0"/>
    <w:rsid w:val="00EB07CF"/>
    <w:rsid w:val="00EC12A3"/>
    <w:rsid w:val="00EC4DD6"/>
    <w:rsid w:val="00ED2F55"/>
    <w:rsid w:val="00F120EC"/>
    <w:rsid w:val="00F410B2"/>
    <w:rsid w:val="00F4230F"/>
    <w:rsid w:val="00F5006B"/>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uwsp.edu/dos/Pages/stu-conduct.aspx" TargetMode="External"/><Relationship Id="rId47" Type="http://schemas.openxmlformats.org/officeDocument/2006/relationships/hyperlink" Target="https://www.uwsp.edu/C19DailyScreenin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mailto:datctr@uwsp.edu"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hyperlink" Target="https://www.uwsp.edu/datc/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acadaff/Pages/gradeReview.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324</Number>
    <Section xmlns="409cf07c-705a-4568-bc2e-e1a7cd36a2d3">01</Section>
    <Calendar_x0020_Year xmlns="409cf07c-705a-4568-bc2e-e1a7cd36a2d3">2023</Calendar_x0020_Year>
    <Course_x0020_Name xmlns="409cf07c-705a-4568-bc2e-e1a7cd36a2d3">Health Economics</Course_x0020_Name>
    <Instructor xmlns="409cf07c-705a-4568-bc2e-e1a7cd36a2d3">Jason Davis</Instructor>
    <Pre xmlns="409cf07c-705a-4568-bc2e-e1a7cd36a2d3">31</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DA8EB-9AE6-45B1-B549-D7D6E5645255}"/>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cp:lastModifiedBy>
  <cp:revision>2</cp:revision>
  <dcterms:created xsi:type="dcterms:W3CDTF">2023-01-22T21:21:00Z</dcterms:created>
  <dcterms:modified xsi:type="dcterms:W3CDTF">2023-01-22T21:21:00Z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